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6A8" w:rsidRDefault="004736A8" w:rsidP="004736A8">
      <w:pPr>
        <w:jc w:val="both"/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</w:pPr>
    </w:p>
    <w:p w:rsidR="004736A8" w:rsidRDefault="004736A8" w:rsidP="004736A8">
      <w:pPr>
        <w:jc w:val="both"/>
        <w:rPr>
          <w:rFonts w:ascii="Arial" w:hAnsi="Arial" w:cs="Arial"/>
          <w:color w:val="37474F"/>
          <w:shd w:val="clear" w:color="auto" w:fill="FFFFFF"/>
        </w:rPr>
      </w:pPr>
      <w:r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 xml:space="preserve">Resolución </w:t>
      </w:r>
      <w:r w:rsidRPr="00FF0901"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>NAC-DGERCGC17-00000623:</w:t>
      </w:r>
      <w:r>
        <w:rPr>
          <w:rFonts w:eastAsia="Times New Roman"/>
          <w:sz w:val="30"/>
          <w:szCs w:val="30"/>
          <w:lang w:val="es-ES"/>
        </w:rPr>
        <w:t xml:space="preserve"> </w:t>
      </w:r>
      <w:r w:rsidRPr="00BF36CC">
        <w:rPr>
          <w:rFonts w:ascii="Arial" w:hAnsi="Arial" w:cs="Arial"/>
          <w:color w:val="37474F"/>
          <w:shd w:val="clear" w:color="auto" w:fill="FFFFFF"/>
        </w:rPr>
        <w:t>Actualícense los rangos de las tablas establecidas para liquidar el impuesto a la renta de las personas naturales, sucesiones indivisas, incrementos patrimoniales provenientes de herencias, legados, donaciones, hallazgos y todo tipo de acto o contrato por el cual se adquiera el dominio a título gratuito, de bienes y derechos para el 2018.</w:t>
      </w:r>
    </w:p>
    <w:p w:rsidR="004736A8" w:rsidRPr="00FF0901" w:rsidRDefault="004736A8" w:rsidP="004736A8">
      <w:pPr>
        <w:rPr>
          <w:rFonts w:ascii="Tahoma" w:eastAsia="Times New Roman" w:hAnsi="Tahoma" w:cs="Tahoma"/>
          <w:sz w:val="16"/>
          <w:szCs w:val="16"/>
          <w:lang w:val="es-ES"/>
        </w:rPr>
      </w:pPr>
    </w:p>
    <w:p w:rsidR="004736A8" w:rsidRDefault="004736A8" w:rsidP="004736A8">
      <w:pPr>
        <w:jc w:val="center"/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Resuelve: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Actualizar los rangos de las tablas establecidas para liquidar el impuesto a la renta de las personas naturales, sucesiones indivisas, incrementos patrimoniales provenientes de herencias, legados, donaciones, hallazgos y todo tipo de acto o contrato por el cual se adquiera el dominio a título gratuito, de bienes y derechos para el 2018.</w:t>
      </w:r>
    </w:p>
    <w:p w:rsidR="004736A8" w:rsidRPr="00FF0901" w:rsidRDefault="004736A8" w:rsidP="004736A8">
      <w:pPr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Art. 1.- Objeto.-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Establecer los rangos de las tablas para liquidar el impuesto a la renta de las personas naturales, sucesiones indivisas, incrementos patrimoniales provenientes de herencias, legados, donaciones, hallazgos y todo tipo de acto o contrato por el cual se adquiera el dominio a título gratuito, de bienes y derechos para el 2018, a partir de la variación anual del índice de Precios al Consumidor de Área Urbana dictado por el INEC a noviembre de 2017.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Art. 2.- Personas naturales y sucesiones indivisas-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Los rangos de la tabla prevista en el literal a) del artículo 36 de la Ley de Régimen Tributario Interno para la liquidación del impuesto a la renta para los ingresos percibidos por las personas naturales y sucesiones indivisas correspondientes al ejercicio económico 2018, son los siguientes: </w:t>
      </w:r>
    </w:p>
    <w:p w:rsidR="004736A8" w:rsidRPr="00FF0901" w:rsidRDefault="004736A8" w:rsidP="004736A8">
      <w:pPr>
        <w:rPr>
          <w:rFonts w:ascii="Tahoma" w:eastAsia="Times New Roman" w:hAnsi="Tahoma" w:cs="Tahoma"/>
          <w:sz w:val="16"/>
          <w:szCs w:val="16"/>
          <w:lang w:val="es-ES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521"/>
        <w:gridCol w:w="1455"/>
      </w:tblGrid>
      <w:tr w:rsidR="004736A8" w:rsidRPr="00FF0901" w:rsidTr="004550C5">
        <w:trPr>
          <w:tblCellSpacing w:w="15" w:type="dxa"/>
          <w:jc w:val="center"/>
        </w:trPr>
        <w:tc>
          <w:tcPr>
            <w:tcW w:w="532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8A8A8"/>
            <w:vAlign w:val="center"/>
            <w:hideMark/>
          </w:tcPr>
          <w:p w:rsidR="004736A8" w:rsidRPr="00FF0901" w:rsidRDefault="004736A8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AÑO 2018</w:t>
            </w: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br/>
              <w:t>En dólares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8A8A8"/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Fracción Básica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8A8A8"/>
            <w:vAlign w:val="center"/>
            <w:hideMark/>
          </w:tcPr>
          <w:p w:rsidR="004736A8" w:rsidRPr="00FF0901" w:rsidRDefault="004736A8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Exceso hasta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8A8A8"/>
            <w:vAlign w:val="center"/>
            <w:hideMark/>
          </w:tcPr>
          <w:p w:rsidR="004736A8" w:rsidRPr="00FF0901" w:rsidRDefault="004736A8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Impuesto Fracción Básica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8A8A8"/>
            <w:vAlign w:val="center"/>
            <w:hideMark/>
          </w:tcPr>
          <w:p w:rsidR="004736A8" w:rsidRPr="00FF0901" w:rsidRDefault="004736A8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 xml:space="preserve">% </w:t>
            </w: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Impuesto Fracción Excedente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11.270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0%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11.270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14.360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5%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14.360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17.950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155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10%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17.950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21.550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514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12%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21.550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43.100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946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15%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43.100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64.630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4.178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20%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64.630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86.180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8.484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25%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86.180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114.890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13.872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30%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114.890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En adelante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22.485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35%</w:t>
            </w:r>
          </w:p>
        </w:tc>
      </w:tr>
    </w:tbl>
    <w:p w:rsidR="004736A8" w:rsidRDefault="004736A8" w:rsidP="004736A8">
      <w:pPr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</w:p>
    <w:p w:rsidR="004736A8" w:rsidRPr="00FF0901" w:rsidRDefault="004736A8" w:rsidP="004736A8">
      <w:pPr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Art. 3.- Herencias, legados, donaciones, hallazgos y todo tipo de acto o contrato por el cual se adquiera el dominio a título gratuito, de bienes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y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derechos.-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Los rangos de la tabla prevista en el literal d) del artículo 36 de la Ley de Régimen Tributario Interno para la liquidación del impuesto a la renta por incrementos patrimoniales provenientes de herencias, legados, donaciones, hallazgos y todo tipo de acto o contrato por el cual se adquiera el dominio a título gratuito, de bienes y derechos, correspondientes al ejercicio económico 2018, son los siguientes: </w:t>
      </w:r>
    </w:p>
    <w:p w:rsidR="004736A8" w:rsidRPr="00FF0901" w:rsidRDefault="004736A8" w:rsidP="004736A8">
      <w:pPr>
        <w:rPr>
          <w:rFonts w:ascii="Tahoma" w:eastAsia="Times New Roman" w:hAnsi="Tahoma" w:cs="Tahoma"/>
          <w:sz w:val="16"/>
          <w:szCs w:val="16"/>
          <w:lang w:val="es-ES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8"/>
        <w:gridCol w:w="1002"/>
        <w:gridCol w:w="1276"/>
        <w:gridCol w:w="1559"/>
      </w:tblGrid>
      <w:tr w:rsidR="004736A8" w:rsidRPr="00FF0901" w:rsidTr="004550C5">
        <w:trPr>
          <w:tblCellSpacing w:w="15" w:type="dxa"/>
          <w:jc w:val="center"/>
        </w:trPr>
        <w:tc>
          <w:tcPr>
            <w:tcW w:w="50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8A8A8"/>
            <w:vAlign w:val="center"/>
            <w:hideMark/>
          </w:tcPr>
          <w:p w:rsidR="004736A8" w:rsidRPr="00FF0901" w:rsidRDefault="004736A8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AÑO 2018</w:t>
            </w: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br/>
              <w:t>En dólares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8A8A8"/>
            <w:vAlign w:val="center"/>
            <w:hideMark/>
          </w:tcPr>
          <w:p w:rsidR="004736A8" w:rsidRPr="00FF0901" w:rsidRDefault="004736A8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Fracción Básica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8A8A8"/>
            <w:vAlign w:val="center"/>
            <w:hideMark/>
          </w:tcPr>
          <w:p w:rsidR="004736A8" w:rsidRPr="00FF0901" w:rsidRDefault="004736A8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Exceso hasta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8A8A8"/>
            <w:vAlign w:val="center"/>
            <w:hideMark/>
          </w:tcPr>
          <w:p w:rsidR="004736A8" w:rsidRPr="00FF0901" w:rsidRDefault="004736A8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Impuesto Fracción Básica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8A8A8"/>
            <w:vAlign w:val="center"/>
            <w:hideMark/>
          </w:tcPr>
          <w:p w:rsidR="004736A8" w:rsidRPr="00FF0901" w:rsidRDefault="004736A8" w:rsidP="004550C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 xml:space="preserve">% </w:t>
            </w:r>
            <w:r w:rsidRPr="00FF090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Impuesto Fracción Excedente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0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71.810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0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0%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71.810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143.620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0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5%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143.620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287.240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3.591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10%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287.240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430.890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17.953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15%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430.890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574.530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39.500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20%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574.530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718.150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68.228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25%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718.150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861.760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104.133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30%</w:t>
            </w:r>
          </w:p>
        </w:tc>
      </w:tr>
      <w:tr w:rsidR="004736A8" w:rsidRPr="00FF0901" w:rsidTr="004550C5">
        <w:trPr>
          <w:tblCellSpacing w:w="15" w:type="dxa"/>
          <w:jc w:val="center"/>
        </w:trPr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861.760</w:t>
            </w:r>
          </w:p>
        </w:tc>
        <w:tc>
          <w:tcPr>
            <w:tcW w:w="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En adelante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147.216</w:t>
            </w:r>
          </w:p>
        </w:tc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6A8" w:rsidRPr="00FF0901" w:rsidRDefault="004736A8" w:rsidP="004550C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0901">
              <w:rPr>
                <w:rFonts w:ascii="Tahoma" w:eastAsia="Times New Roman" w:hAnsi="Tahoma" w:cs="Tahoma"/>
                <w:sz w:val="16"/>
                <w:szCs w:val="16"/>
              </w:rPr>
              <w:t>35%</w:t>
            </w:r>
          </w:p>
        </w:tc>
      </w:tr>
    </w:tbl>
    <w:p w:rsidR="004736A8" w:rsidRDefault="004736A8" w:rsidP="004736A8">
      <w:pPr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</w:p>
    <w:p w:rsidR="004736A8" w:rsidRPr="00FF0901" w:rsidRDefault="004736A8" w:rsidP="004736A8">
      <w:pPr>
        <w:rPr>
          <w:rFonts w:ascii="Tahoma" w:eastAsia="Times New Roman" w:hAnsi="Tahoma" w:cs="Tahoma"/>
          <w:sz w:val="16"/>
          <w:szCs w:val="16"/>
          <w:lang w:val="es-ES"/>
        </w:rPr>
      </w:pPr>
      <w:r>
        <w:rPr>
          <w:rFonts w:ascii="Tahoma" w:eastAsia="Times New Roman" w:hAnsi="Tahoma" w:cs="Tahoma"/>
          <w:noProof/>
          <w:sz w:val="16"/>
          <w:szCs w:val="16"/>
          <w:lang w:val="es-ES_tradnl" w:eastAsia="es-ES_tradnl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312922" wp14:editId="7503C2E2">
                <wp:simplePos x="0" y="0"/>
                <wp:positionH relativeFrom="column">
                  <wp:posOffset>-1070610</wp:posOffset>
                </wp:positionH>
                <wp:positionV relativeFrom="paragraph">
                  <wp:posOffset>561975</wp:posOffset>
                </wp:positionV>
                <wp:extent cx="7533005" cy="190500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3005" cy="190500"/>
                        </a:xfrm>
                        <a:prstGeom prst="rect">
                          <a:avLst/>
                        </a:prstGeom>
                        <a:solidFill>
                          <a:srgbClr val="37BCC3"/>
                        </a:solidFill>
                        <a:ln>
                          <a:noFill/>
                        </a:ln>
                        <a:effectLst>
                          <a:innerShdw blurRad="63500" dist="50800" dir="162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040418" id="Rectángulo 2" o:spid="_x0000_s1026" style="position:absolute;margin-left:-84.3pt;margin-top:44.25pt;width:593.15pt;height: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" fillcolor="#37bcc3" stroked="f" strokeweight="1pt"/>
            </w:pict>
          </mc:Fallback>
        </mc:AlternateContent>
      </w:r>
      <w:r>
        <w:rPr>
          <w:rFonts w:ascii="Tahoma" w:eastAsia="Times New Roman" w:hAnsi="Tahoma" w:cs="Tahoma"/>
          <w:noProof/>
          <w:sz w:val="16"/>
          <w:szCs w:val="16"/>
          <w:lang w:val="es-ES_tradnl" w:eastAsia="es-ES_tradnl"/>
        </w:rPr>
        <w:drawing>
          <wp:anchor distT="0" distB="0" distL="114300" distR="114300" simplePos="0" relativeHeight="251659264" behindDoc="1" locked="0" layoutInCell="1" allowOverlap="1" wp14:anchorId="2C585306" wp14:editId="5375D33D">
            <wp:simplePos x="0" y="0"/>
            <wp:positionH relativeFrom="page">
              <wp:align>left</wp:align>
            </wp:positionH>
            <wp:positionV relativeFrom="paragraph">
              <wp:posOffset>600075</wp:posOffset>
            </wp:positionV>
            <wp:extent cx="7543152" cy="6105525"/>
            <wp:effectExtent l="0" t="0" r="127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ERRE 2017 TC AUDIT-01-01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11"/>
                    <a:stretch/>
                  </pic:blipFill>
                  <pic:spPr bwMode="auto">
                    <a:xfrm>
                      <a:off x="0" y="0"/>
                      <a:ext cx="7543152" cy="6105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Disposición Final.-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Esta Resolución entrará en vigencia a partir de su publicación en el Registro Oficial.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</w:p>
    <w:p w:rsidR="009443D9" w:rsidRPr="004736A8" w:rsidRDefault="009443D9">
      <w:pPr>
        <w:rPr>
          <w:lang w:val="es-ES"/>
        </w:rPr>
      </w:pPr>
      <w:bookmarkStart w:id="0" w:name="_GoBack"/>
      <w:bookmarkEnd w:id="0"/>
    </w:p>
    <w:sectPr w:rsidR="009443D9" w:rsidRPr="004736A8">
      <w:headerReference w:type="default" r:id="rId5"/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ffra Light">
    <w:charset w:val="00"/>
    <w:family w:val="auto"/>
    <w:pitch w:val="variable"/>
    <w:sig w:usb0="A00000AF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44" w:rsidRDefault="004736A8" w:rsidP="00A022A6">
    <w:pPr>
      <w:pStyle w:val="Piedepgina"/>
    </w:pPr>
    <w:r w:rsidRPr="008A2665">
      <w:rPr>
        <w:rFonts w:ascii="Tahoma" w:hAnsi="Tahoma" w:cs="Tahoma"/>
        <w:b/>
        <w:bCs/>
        <w:noProof/>
        <w:sz w:val="16"/>
        <w:szCs w:val="16"/>
        <w:shd w:val="clear" w:color="auto" w:fill="FFFFFF"/>
        <w:lang w:val="es-ES_tradnl" w:eastAsia="es-ES_tradnl"/>
      </w:rPr>
      <w:drawing>
        <wp:anchor distT="0" distB="0" distL="114300" distR="114300" simplePos="0" relativeHeight="251664384" behindDoc="1" locked="0" layoutInCell="1" allowOverlap="1" wp14:anchorId="45809D56" wp14:editId="7220B3B9">
          <wp:simplePos x="0" y="0"/>
          <wp:positionH relativeFrom="page">
            <wp:posOffset>5584825</wp:posOffset>
          </wp:positionH>
          <wp:positionV relativeFrom="paragraph">
            <wp:posOffset>-599630</wp:posOffset>
          </wp:positionV>
          <wp:extent cx="1973669" cy="1274964"/>
          <wp:effectExtent l="0" t="0" r="7620" b="190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NCABEZADO BOLETIN JUNIO 2017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660"/>
                  <a:stretch/>
                </pic:blipFill>
                <pic:spPr bwMode="auto">
                  <a:xfrm>
                    <a:off x="0" y="0"/>
                    <a:ext cx="1973669" cy="12749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_tradnl" w:eastAsia="es-ES_trad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9BA4FC" wp14:editId="4D153D39">
              <wp:simplePos x="0" y="0"/>
              <wp:positionH relativeFrom="page">
                <wp:align>left</wp:align>
              </wp:positionH>
              <wp:positionV relativeFrom="paragraph">
                <wp:posOffset>112766</wp:posOffset>
              </wp:positionV>
              <wp:extent cx="7573992" cy="0"/>
              <wp:effectExtent l="0" t="0" r="27305" b="19050"/>
              <wp:wrapNone/>
              <wp:docPr id="12" name="3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73992" cy="0"/>
                      </a:xfrm>
                      <a:prstGeom prst="line">
                        <a:avLst/>
                      </a:prstGeom>
                      <a:ln w="3175">
                        <a:solidFill>
                          <a:srgbClr val="99336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028F2B" id="3 Conector recto" o:spid="_x0000_s1026" style="position:absolute;z-index:251659264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" from="0,8.9pt" to="596.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" strokecolor="#936" strokeweight=".25pt">
              <v:stroke joinstyle="miter"/>
              <w10:wrap anchorx="page"/>
            </v:line>
          </w:pict>
        </mc:Fallback>
      </mc:AlternateContent>
    </w:r>
  </w:p>
  <w:p w:rsidR="00134544" w:rsidRDefault="004736A8">
    <w:pPr>
      <w:pStyle w:val="Piedepgina"/>
    </w:pPr>
    <w:r>
      <w:rPr>
        <w:noProof/>
        <w:lang w:val="es-ES_tradnl" w:eastAsia="es-ES_trad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DAA047" wp14:editId="5843A533">
              <wp:simplePos x="0" y="0"/>
              <wp:positionH relativeFrom="column">
                <wp:posOffset>-730885</wp:posOffset>
              </wp:positionH>
              <wp:positionV relativeFrom="paragraph">
                <wp:posOffset>2169</wp:posOffset>
              </wp:positionV>
              <wp:extent cx="7573645" cy="0"/>
              <wp:effectExtent l="0" t="0" r="27305" b="19050"/>
              <wp:wrapNone/>
              <wp:docPr id="13" name="6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73645" cy="0"/>
                      </a:xfrm>
                      <a:prstGeom prst="line">
                        <a:avLst/>
                      </a:prstGeom>
                      <a:ln w="3175">
                        <a:solidFill>
                          <a:srgbClr val="33CC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B9C021" id="6 Conector recto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7.55pt,.15pt" to="538.8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" strokecolor="#3cc" strokeweight=".25pt">
              <v:stroke joinstyle="miter"/>
            </v:line>
          </w:pict>
        </mc:Fallback>
      </mc:AlternateContent>
    </w:r>
    <w:r>
      <w:rPr>
        <w:noProof/>
        <w:lang w:val="es-ES_tradnl" w:eastAsia="es-ES_tradn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257476" wp14:editId="55F1B206">
              <wp:simplePos x="0" y="0"/>
              <wp:positionH relativeFrom="column">
                <wp:posOffset>-722630</wp:posOffset>
              </wp:positionH>
              <wp:positionV relativeFrom="paragraph">
                <wp:posOffset>366766</wp:posOffset>
              </wp:positionV>
              <wp:extent cx="7573992" cy="0"/>
              <wp:effectExtent l="0" t="0" r="27305" b="19050"/>
              <wp:wrapNone/>
              <wp:docPr id="14" name="7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73992" cy="0"/>
                      </a:xfrm>
                      <a:prstGeom prst="line">
                        <a:avLst/>
                      </a:prstGeom>
                      <a:ln w="3175">
                        <a:solidFill>
                          <a:srgbClr val="00666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83C8DC" id="7 Conector recto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9pt,28.9pt" to="539.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" strokecolor="#066" strokeweight=".25pt">
              <v:stroke joinstyle="miter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44" w:rsidRPr="00E30DCB" w:rsidRDefault="004736A8">
    <w:pPr>
      <w:pStyle w:val="Encabezado"/>
      <w:jc w:val="right"/>
      <w:rPr>
        <w:rFonts w:ascii="Tahoma" w:hAnsi="Tahoma" w:cs="Tahoma"/>
        <w:b/>
        <w:color w:val="009999"/>
        <w:sz w:val="24"/>
      </w:rPr>
    </w:pPr>
    <w:r w:rsidRPr="003F1E8D">
      <w:rPr>
        <w:rFonts w:ascii="Effra Light" w:hAnsi="Effra Light"/>
        <w:b/>
        <w:noProof/>
        <w:color w:val="33CCCC"/>
        <w:lang w:val="es-ES_tradnl" w:eastAsia="es-ES_trad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273CAF" wp14:editId="534FE123">
              <wp:simplePos x="0" y="0"/>
              <wp:positionH relativeFrom="column">
                <wp:posOffset>3489325</wp:posOffset>
              </wp:positionH>
              <wp:positionV relativeFrom="paragraph">
                <wp:posOffset>-35560</wp:posOffset>
              </wp:positionV>
              <wp:extent cx="2458085" cy="1403985"/>
              <wp:effectExtent l="0" t="0" r="0" b="0"/>
              <wp:wrapNone/>
              <wp:docPr id="10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808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4544" w:rsidRPr="00E30DCB" w:rsidRDefault="004736A8" w:rsidP="003F1E8D">
                          <w:pPr>
                            <w:jc w:val="right"/>
                            <w:rPr>
                              <w:rFonts w:ascii="Tahoma" w:hAnsi="Tahoma" w:cs="Tahoma"/>
                              <w:b/>
                              <w:color w:val="009999"/>
                              <w:sz w:val="20"/>
                            </w:rPr>
                          </w:pPr>
                          <w:r w:rsidRPr="00E30DCB">
                            <w:rPr>
                              <w:rFonts w:ascii="Tahoma" w:hAnsi="Tahoma" w:cs="Tahoma"/>
                              <w:b/>
                              <w:noProof/>
                              <w:color w:val="009999"/>
                            </w:rPr>
                            <w:t>TC Plus – Informativo Gerencial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3273CA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74.75pt;margin-top:-2.8pt;width:193.5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" stroked="f">
              <v:textbox style="mso-fit-shape-to-text:t">
                <w:txbxContent>
                  <w:p w:rsidR="00134544" w:rsidRPr="00E30DCB" w:rsidRDefault="004736A8" w:rsidP="003F1E8D">
                    <w:pPr>
                      <w:jc w:val="right"/>
                      <w:rPr>
                        <w:rFonts w:ascii="Tahoma" w:hAnsi="Tahoma" w:cs="Tahoma"/>
                        <w:b/>
                        <w:color w:val="009999"/>
                        <w:sz w:val="20"/>
                      </w:rPr>
                    </w:pPr>
                    <w:r w:rsidRPr="00E30DCB">
                      <w:rPr>
                        <w:rFonts w:ascii="Tahoma" w:hAnsi="Tahoma" w:cs="Tahoma"/>
                        <w:b/>
                        <w:noProof/>
                        <w:color w:val="009999"/>
                      </w:rPr>
                      <w:t>TC Plus – Informativo Gerencial</w:t>
                    </w:r>
                  </w:p>
                </w:txbxContent>
              </v:textbox>
            </v:shape>
          </w:pict>
        </mc:Fallback>
      </mc:AlternateContent>
    </w:r>
    <w:r w:rsidRPr="003F1E8D">
      <w:rPr>
        <w:rFonts w:ascii="Tahoma" w:hAnsi="Tahoma" w:cs="Tahoma"/>
        <w:b/>
        <w:noProof/>
        <w:color w:val="33CCCC"/>
        <w:sz w:val="24"/>
        <w:lang w:val="es-ES_tradnl" w:eastAsia="es-ES_tradn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7CD435" wp14:editId="61E5BC95">
              <wp:simplePos x="0" y="0"/>
              <wp:positionH relativeFrom="column">
                <wp:posOffset>5945769</wp:posOffset>
              </wp:positionH>
              <wp:positionV relativeFrom="paragraph">
                <wp:posOffset>-635</wp:posOffset>
              </wp:positionV>
              <wp:extent cx="0" cy="482600"/>
              <wp:effectExtent l="0" t="0" r="19050" b="12700"/>
              <wp:wrapNone/>
              <wp:docPr id="11" name="9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82600"/>
                      </a:xfrm>
                      <a:prstGeom prst="line">
                        <a:avLst/>
                      </a:prstGeom>
                      <a:ln w="19050">
                        <a:solidFill>
                          <a:srgbClr val="33CC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6A3DB9" id="9 Conector recto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.15pt,-.05pt" to="468.1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" strokecolor="#3cc" strokeweight="1.5pt">
              <v:stroke joinstyle="miter"/>
            </v:line>
          </w:pict>
        </mc:Fallback>
      </mc:AlternateContent>
    </w:r>
    <w:sdt>
      <w:sdtPr>
        <w:rPr>
          <w:rFonts w:ascii="Effra Light" w:hAnsi="Effra Light"/>
          <w:b/>
          <w:color w:val="33CCCC"/>
        </w:rPr>
        <w:id w:val="-915867951"/>
        <w:docPartObj>
          <w:docPartGallery w:val="Page Numbers (Top of Page)"/>
          <w:docPartUnique/>
        </w:docPartObj>
      </w:sdtPr>
      <w:sdtEndPr>
        <w:rPr>
          <w:rFonts w:ascii="Tahoma" w:hAnsi="Tahoma" w:cs="Tahoma"/>
          <w:color w:val="009999"/>
          <w:sz w:val="24"/>
        </w:rPr>
      </w:sdtEndPr>
      <w:sdtContent>
        <w:r w:rsidRPr="00E30DCB">
          <w:rPr>
            <w:rFonts w:ascii="Tahoma" w:hAnsi="Tahoma" w:cs="Tahoma"/>
            <w:b/>
            <w:color w:val="009999"/>
            <w:sz w:val="24"/>
          </w:rPr>
          <w:fldChar w:fldCharType="begin"/>
        </w:r>
        <w:r w:rsidRPr="00E30DCB">
          <w:rPr>
            <w:rFonts w:ascii="Tahoma" w:hAnsi="Tahoma" w:cs="Tahoma"/>
            <w:b/>
            <w:color w:val="009999"/>
            <w:sz w:val="24"/>
          </w:rPr>
          <w:instrText>PAGE   \* MERGEFORMAT</w:instrText>
        </w:r>
        <w:r w:rsidRPr="00E30DCB">
          <w:rPr>
            <w:rFonts w:ascii="Tahoma" w:hAnsi="Tahoma" w:cs="Tahoma"/>
            <w:b/>
            <w:color w:val="009999"/>
            <w:sz w:val="24"/>
          </w:rPr>
          <w:fldChar w:fldCharType="separate"/>
        </w:r>
        <w:r>
          <w:rPr>
            <w:rFonts w:ascii="Tahoma" w:hAnsi="Tahoma" w:cs="Tahoma"/>
            <w:b/>
            <w:noProof/>
            <w:color w:val="009999"/>
            <w:sz w:val="24"/>
          </w:rPr>
          <w:t>1</w:t>
        </w:r>
        <w:r w:rsidRPr="00E30DCB">
          <w:rPr>
            <w:rFonts w:ascii="Tahoma" w:hAnsi="Tahoma" w:cs="Tahoma"/>
            <w:b/>
            <w:color w:val="009999"/>
            <w:sz w:val="24"/>
          </w:rPr>
          <w:fldChar w:fldCharType="end"/>
        </w:r>
      </w:sdtContent>
    </w:sdt>
  </w:p>
  <w:p w:rsidR="00134544" w:rsidRDefault="004736A8" w:rsidP="003F1E8D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6A8"/>
    <w:rsid w:val="004736A8"/>
    <w:rsid w:val="0094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ED5D5E-BB7F-43DB-B8F3-C9B9922D0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6A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736A8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736A8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736A8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736A8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36A8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2018-01-09T15:47:00Z</dcterms:created>
  <dcterms:modified xsi:type="dcterms:W3CDTF">2018-01-09T15:48:00Z</dcterms:modified>
</cp:coreProperties>
</file>